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B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4625240C">
      <w:pPr>
        <w:widowControl/>
        <w:spacing w:line="600" w:lineRule="exact"/>
        <w:jc w:val="center"/>
        <w:rPr>
          <w:rFonts w:hint="eastAsia" w:eastAsia="方正小标宋简体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首都科普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/>
        </w:rPr>
        <w:t>星辰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行动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实施方案</w:t>
      </w:r>
    </w:p>
    <w:p w14:paraId="2E28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zh-TW" w:eastAsia="zh-TW"/>
        </w:rPr>
      </w:pPr>
    </w:p>
    <w:p w14:paraId="598A1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为加强科学传播人才队伍建设，组织开展科学传播专业理论与实践技能培训，努力培育一批专业能力出类拔萃、科普志趣强、具有创新思维的科学传播人才，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使之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成为新时代科学传播高层次人才和高水平创新团队的重要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储备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力量。具体方案如下：</w:t>
      </w:r>
    </w:p>
    <w:p w14:paraId="6341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zh-TW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  <w:lang w:val="zh-TW"/>
        </w:rPr>
        <w:t>培育对象</w:t>
      </w:r>
    </w:p>
    <w:p w14:paraId="6421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面向社会公开选拔一批具备扎实学科专业背景、热心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科普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事业的优秀人才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作为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培养对象。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年计划选拔60名。</w:t>
      </w:r>
    </w:p>
    <w:p w14:paraId="29A7E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/>
        </w:rPr>
        <w:t>（一）选拔方式</w:t>
      </w:r>
    </w:p>
    <w:p w14:paraId="0464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由首都地区科研院所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高等院校、科学教育场馆、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大众传媒、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组评审确定。</w:t>
      </w:r>
    </w:p>
    <w:p w14:paraId="0944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/>
        </w:rPr>
      </w:pPr>
      <w:r>
        <w:rPr>
          <w:rFonts w:ascii="楷体_GB2312" w:hAnsi="楷体_GB2312" w:eastAsia="楷体_GB2312" w:cs="楷体_GB2312"/>
          <w:color w:val="000000"/>
          <w:sz w:val="32"/>
          <w:szCs w:val="32"/>
          <w:lang w:val="zh-TW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/>
        </w:rPr>
        <w:t>二</w:t>
      </w:r>
      <w:r>
        <w:rPr>
          <w:rFonts w:ascii="楷体_GB2312" w:hAnsi="楷体_GB2312" w:eastAsia="楷体_GB2312" w:cs="楷体_GB2312"/>
          <w:color w:val="000000"/>
          <w:sz w:val="32"/>
          <w:szCs w:val="32"/>
          <w:lang w:val="zh-TW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/>
        </w:rPr>
        <w:t>基本</w:t>
      </w:r>
      <w:r>
        <w:rPr>
          <w:rFonts w:ascii="楷体_GB2312" w:hAnsi="楷体_GB2312" w:eastAsia="楷体_GB2312" w:cs="楷体_GB2312"/>
          <w:color w:val="000000"/>
          <w:sz w:val="32"/>
          <w:szCs w:val="32"/>
          <w:lang w:val="zh-TW"/>
        </w:rPr>
        <w:t>条件</w:t>
      </w:r>
    </w:p>
    <w:p w14:paraId="295D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TW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TW" w:eastAsia="zh-CN"/>
        </w:rPr>
        <w:t>科研教学机构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lang w:val="zh-TW"/>
        </w:rPr>
        <w:t>相关人员</w:t>
      </w:r>
    </w:p>
    <w:p w14:paraId="34D3B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凡在北京地区学习、工作，热爱祖国，遵纪守法，拥护党的路线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方针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和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政策，学风正派，品行端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/>
        </w:rPr>
        <w:t>正，具备能够在首都地区长期从事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/>
        </w:rPr>
        <w:t>科普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的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/>
        </w:rPr>
        <w:t>青年科技工作者，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且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符合以下条件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者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可参加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星辰行动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”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选拔：</w:t>
      </w:r>
    </w:p>
    <w:p w14:paraId="2BD0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博士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研究生学历，具有较高的专业理论和实践功底的青年科技工作者；</w:t>
      </w:r>
    </w:p>
    <w:p w14:paraId="5AC36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在传播科学技术知识和新技术推广中取得一定成绩，为获得良好的社会效益或经济效益做出一定贡献者优先；</w:t>
      </w:r>
    </w:p>
    <w:p w14:paraId="2741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年龄原则上应不超过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周岁；</w:t>
      </w:r>
    </w:p>
    <w:p w14:paraId="62CB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有特别突出科普业绩和较大发展潜力的人员，可适当放宽条件。</w:t>
      </w:r>
    </w:p>
    <w:p w14:paraId="331C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TW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TW" w:eastAsia="zh-CN"/>
        </w:rPr>
        <w:t>科普机构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TW"/>
        </w:rPr>
        <w:t>从业人员</w:t>
      </w:r>
    </w:p>
    <w:p w14:paraId="42C87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凡在北京地区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科普机构工作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，热爱祖国，遵纪守法，拥护党的路线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方针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和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政策，具有良好的职业道德，品行端正，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具有科普工作背景的从业人员，且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符合以下条件者可参加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星辰行动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”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选拔：</w:t>
      </w:r>
    </w:p>
    <w:p w14:paraId="5C5D9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硕士研究生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及以上学历，从事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科普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相关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/>
        </w:rPr>
        <w:t>工作满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/>
        </w:rPr>
        <w:t>年，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且多次承担重要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科普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工作的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研究、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策划、教育、培训、交流、讲解等任务；</w:t>
      </w:r>
    </w:p>
    <w:p w14:paraId="6F0E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在本职工作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取得一定业绩，具有较强的科普能力和潜力，在提升公众科学素养方面取得较好的成绩者优先；</w:t>
      </w:r>
    </w:p>
    <w:p w14:paraId="4D97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年龄原则上应不超过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周岁。</w:t>
      </w:r>
    </w:p>
    <w:p w14:paraId="33D9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zh-TW" w:eastAsia="zh-TW"/>
        </w:rPr>
        <w:t>有特别突出科普业绩和较大发展潜力的人员，可适当放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宽条件。</w:t>
      </w:r>
    </w:p>
    <w:p w14:paraId="2099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黑体" w:hAnsi="黑体" w:eastAsia="黑体" w:cs="黑体"/>
          <w:color w:val="000000"/>
          <w:sz w:val="32"/>
          <w:szCs w:val="32"/>
          <w:shd w:val="clear" w:color="auto" w:fill="FFFFFF"/>
          <w:lang w:val="zh-TW" w:eastAsia="zh-TW"/>
        </w:rPr>
      </w:pP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  <w:lang w:val="zh-TW" w:eastAsia="zh-TW"/>
        </w:rPr>
        <w:t>二、培育模式</w:t>
      </w:r>
    </w:p>
    <w:p w14:paraId="40F17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培训期为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年，经考核评价，符合条件的颁发结业证书。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主要采取以下培育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：</w:t>
      </w:r>
    </w:p>
    <w:p w14:paraId="0286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  <w:lang w:val="zh-TW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 w:eastAsia="zh-TW"/>
        </w:rPr>
        <w:t>（一）高端化导师团队。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实行分组制和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“1+2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+1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”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导师团队。所有学员分为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组，每组由一名院士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，两名科普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大咖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，一名往届星辰优秀学员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担任合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作导师，为学员传授实践经验，建立联络机制；科学传播领域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网红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跟踪指导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开展合作，帮助学员拓展科学传播视野，增强科普创新能力；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科普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场馆馆长加盟，发挥场馆资源优势，参与实践教学指导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；</w:t>
      </w:r>
      <w:r>
        <w:rPr>
          <w:rFonts w:hint="default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助理导师以亲身经历分享成长心得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，促进学员间交流协作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。</w:t>
      </w:r>
    </w:p>
    <w:p w14:paraId="62E8E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 w:eastAsia="zh-TW"/>
        </w:rPr>
        <w:t>（二）专业化课程体系。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由高校权威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学者、行业资深专家、活跃科普大咖等组成专业化师资团队，围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 xml:space="preserve">绕最新的科学传播趋势，总结提炼科学传播思想与方法，定制科学传播课程。包括：专业系统传播学系列课程、大咖实践案例分享课程、场馆实践服务课程等，以及邀请院士、科普大咖开展主题沙龙，与学员面对面交流。  </w:t>
      </w:r>
    </w:p>
    <w:p w14:paraId="71CAC1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 w:eastAsia="zh-TW"/>
        </w:rPr>
        <w:t>（三）多元化精英教育。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汇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集优质的自媒体平台资源、科学普及创作与出版资源和丰富的科普实践平台等全方位资源，突出平台的多元化精英教育特色，推进高层次科学传播人才全面发展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形成宽渠道、广覆盖、精专业、重实践的青年科学传播专业人才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选拔、培育、交流、使用、跟踪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的可持续发展机制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。</w:t>
      </w:r>
    </w:p>
    <w:p w14:paraId="425F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黑体" w:hAnsi="黑体" w:eastAsia="黑体" w:cs="黑体"/>
          <w:color w:val="000000"/>
          <w:sz w:val="32"/>
          <w:szCs w:val="32"/>
          <w:shd w:val="clear" w:color="auto" w:fill="FFFFFF"/>
          <w:lang w:val="zh-TW" w:eastAsia="zh-TW"/>
        </w:rPr>
      </w:pP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  <w:lang w:val="zh-TW" w:eastAsia="zh-TW"/>
        </w:rPr>
        <w:t>三、保障措施</w:t>
      </w:r>
    </w:p>
    <w:p w14:paraId="604F5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 w:eastAsia="zh-TW"/>
        </w:rPr>
        <w:t>（一）保障组织体系。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市科协负责统筹协调，北京科普发展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与研究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中心负责组织实施。参与组织的高等院校及导师团队共同完成学员培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训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的制定与实施、培养平台的搭建，同时做好入围者的考核管理和相关保障工作，保障项目按计划实施，并做好项目总结工作。</w:t>
      </w:r>
    </w:p>
    <w:p w14:paraId="29E3E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 w:eastAsia="zh-TW"/>
        </w:rPr>
        <w:t>（二）教学质量体系。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制定课程体系标准、学员结业标准，构建标准统一、流程顺畅、措施有效的培训质量管理体系。</w:t>
      </w:r>
    </w:p>
    <w:p w14:paraId="4B676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1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 w:eastAsia="zh-TW"/>
        </w:rPr>
        <w:t>（三）安全保障体系。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通过单位推荐、责任书签订、导师指导等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方式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，严格控制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相关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风险；通过明确项目组职责，进行全程监督管理，确保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/>
        </w:rPr>
        <w:t>行动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/>
        </w:rPr>
        <w:t>有序安全推进。</w:t>
      </w:r>
    </w:p>
    <w:p w14:paraId="52780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/>
        </w:rPr>
      </w:pPr>
    </w:p>
    <w:p w14:paraId="4715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roman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01039">
    <w:pPr>
      <w:pStyle w:val="1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EAD72">
                          <w:pPr>
                            <w:pStyle w:val="1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EAD72">
                    <w:pPr>
                      <w:pStyle w:val="1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AD2CE">
    <w:pPr>
      <w:pStyle w:val="1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2F8FC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10178">
    <w:pPr>
      <w:pStyle w:val="1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5CEE"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66"/>
    <w:rsid w:val="00180BEF"/>
    <w:rsid w:val="001E2C76"/>
    <w:rsid w:val="0025622E"/>
    <w:rsid w:val="00315266"/>
    <w:rsid w:val="00543C7F"/>
    <w:rsid w:val="005978A4"/>
    <w:rsid w:val="005A390C"/>
    <w:rsid w:val="006E23E6"/>
    <w:rsid w:val="009D5DA5"/>
    <w:rsid w:val="009F5D01"/>
    <w:rsid w:val="00A40CC4"/>
    <w:rsid w:val="00BC1CD5"/>
    <w:rsid w:val="00BE3111"/>
    <w:rsid w:val="00E13AC3"/>
    <w:rsid w:val="00E90620"/>
    <w:rsid w:val="0B3FF9BE"/>
    <w:rsid w:val="0DBF5D0D"/>
    <w:rsid w:val="0F1FEEE5"/>
    <w:rsid w:val="116CFCD1"/>
    <w:rsid w:val="153E74C4"/>
    <w:rsid w:val="175761DA"/>
    <w:rsid w:val="1AFF76CB"/>
    <w:rsid w:val="1BDBD923"/>
    <w:rsid w:val="1DDFB974"/>
    <w:rsid w:val="1EF61137"/>
    <w:rsid w:val="26C7E94B"/>
    <w:rsid w:val="27ACA4D1"/>
    <w:rsid w:val="32E67B80"/>
    <w:rsid w:val="33ACDAF3"/>
    <w:rsid w:val="374114BF"/>
    <w:rsid w:val="37FE23E3"/>
    <w:rsid w:val="3B725F69"/>
    <w:rsid w:val="3BBBB3D8"/>
    <w:rsid w:val="3BFFCDC9"/>
    <w:rsid w:val="3D7F6E03"/>
    <w:rsid w:val="3DFF9894"/>
    <w:rsid w:val="3EBFF748"/>
    <w:rsid w:val="3EEF2E69"/>
    <w:rsid w:val="3EFFF4F2"/>
    <w:rsid w:val="3FB4BFDB"/>
    <w:rsid w:val="3FED7130"/>
    <w:rsid w:val="3FEF277F"/>
    <w:rsid w:val="44A525FB"/>
    <w:rsid w:val="57ED79F6"/>
    <w:rsid w:val="597F6740"/>
    <w:rsid w:val="5D76DE6F"/>
    <w:rsid w:val="5D7E7E47"/>
    <w:rsid w:val="5D8F4C7E"/>
    <w:rsid w:val="5DEFF651"/>
    <w:rsid w:val="5E55B681"/>
    <w:rsid w:val="5EDDF7BF"/>
    <w:rsid w:val="5EF92517"/>
    <w:rsid w:val="5FB74950"/>
    <w:rsid w:val="5FDF8BF9"/>
    <w:rsid w:val="5FFB02E0"/>
    <w:rsid w:val="65773900"/>
    <w:rsid w:val="66DFA2AF"/>
    <w:rsid w:val="675D847C"/>
    <w:rsid w:val="679FEB24"/>
    <w:rsid w:val="6BEECE41"/>
    <w:rsid w:val="6C7F5762"/>
    <w:rsid w:val="6CFFC7E9"/>
    <w:rsid w:val="6DFF4667"/>
    <w:rsid w:val="6EB7B6C8"/>
    <w:rsid w:val="6EBCF539"/>
    <w:rsid w:val="6F5F8BCB"/>
    <w:rsid w:val="6FAD0646"/>
    <w:rsid w:val="6FFF24D0"/>
    <w:rsid w:val="727FA7A4"/>
    <w:rsid w:val="72B44E17"/>
    <w:rsid w:val="757DE146"/>
    <w:rsid w:val="767CB2F6"/>
    <w:rsid w:val="77EE80E4"/>
    <w:rsid w:val="77F4E2AD"/>
    <w:rsid w:val="77FFCFA2"/>
    <w:rsid w:val="77FFE41C"/>
    <w:rsid w:val="78DFC049"/>
    <w:rsid w:val="7AFF78ED"/>
    <w:rsid w:val="7BACFA44"/>
    <w:rsid w:val="7BBC27CC"/>
    <w:rsid w:val="7BDBE795"/>
    <w:rsid w:val="7BE67B07"/>
    <w:rsid w:val="7C77D939"/>
    <w:rsid w:val="7DD78E55"/>
    <w:rsid w:val="7DEDEF8C"/>
    <w:rsid w:val="7DFB1847"/>
    <w:rsid w:val="7DFF2AC8"/>
    <w:rsid w:val="7E894F81"/>
    <w:rsid w:val="7EEF7DB1"/>
    <w:rsid w:val="7EEFBDD4"/>
    <w:rsid w:val="7EF72E97"/>
    <w:rsid w:val="7EFE2E87"/>
    <w:rsid w:val="7F7373B1"/>
    <w:rsid w:val="7F7F7BF6"/>
    <w:rsid w:val="7FAB339E"/>
    <w:rsid w:val="7FAD546C"/>
    <w:rsid w:val="7FAD5585"/>
    <w:rsid w:val="7FAFA3EC"/>
    <w:rsid w:val="7FBF330F"/>
    <w:rsid w:val="7FC31453"/>
    <w:rsid w:val="7FFF25B6"/>
    <w:rsid w:val="7FFFADEC"/>
    <w:rsid w:val="7FFFFC0A"/>
    <w:rsid w:val="8EFB42AC"/>
    <w:rsid w:val="9A5FD006"/>
    <w:rsid w:val="9FD7C079"/>
    <w:rsid w:val="9FFEB482"/>
    <w:rsid w:val="A99FB5F9"/>
    <w:rsid w:val="A9FACDC0"/>
    <w:rsid w:val="AB378557"/>
    <w:rsid w:val="ABFFE38C"/>
    <w:rsid w:val="ADBF80B0"/>
    <w:rsid w:val="AE76BD8A"/>
    <w:rsid w:val="B4F72EAA"/>
    <w:rsid w:val="B7DFFACA"/>
    <w:rsid w:val="BD5C6358"/>
    <w:rsid w:val="BDA3A0DA"/>
    <w:rsid w:val="BE7B9DA7"/>
    <w:rsid w:val="BF4F8810"/>
    <w:rsid w:val="BFF27AA0"/>
    <w:rsid w:val="BFFEF917"/>
    <w:rsid w:val="C4FF4745"/>
    <w:rsid w:val="CD56677D"/>
    <w:rsid w:val="CDA51402"/>
    <w:rsid w:val="CFF6EE64"/>
    <w:rsid w:val="D5EDBEB6"/>
    <w:rsid w:val="D5FF110C"/>
    <w:rsid w:val="D77FCAF3"/>
    <w:rsid w:val="DA7F0C4C"/>
    <w:rsid w:val="DAF5E03E"/>
    <w:rsid w:val="DBFA5551"/>
    <w:rsid w:val="DBFF0A8A"/>
    <w:rsid w:val="DECD452D"/>
    <w:rsid w:val="DF574335"/>
    <w:rsid w:val="DF792751"/>
    <w:rsid w:val="DFAFE875"/>
    <w:rsid w:val="DFFF59C6"/>
    <w:rsid w:val="E8DB3D83"/>
    <w:rsid w:val="EBBEA723"/>
    <w:rsid w:val="EBE7B2D1"/>
    <w:rsid w:val="EDDF73DF"/>
    <w:rsid w:val="EE798F29"/>
    <w:rsid w:val="EEBF9B7B"/>
    <w:rsid w:val="EEEF1AF8"/>
    <w:rsid w:val="EEFF9B71"/>
    <w:rsid w:val="EF4B4197"/>
    <w:rsid w:val="EFFFF326"/>
    <w:rsid w:val="F377F5DD"/>
    <w:rsid w:val="F3E3E2A5"/>
    <w:rsid w:val="F4DB0B7A"/>
    <w:rsid w:val="F5BB68E5"/>
    <w:rsid w:val="F5E66A3B"/>
    <w:rsid w:val="F5FD1D90"/>
    <w:rsid w:val="F66FD430"/>
    <w:rsid w:val="F6BF43DA"/>
    <w:rsid w:val="F6CECF44"/>
    <w:rsid w:val="F6DFE39B"/>
    <w:rsid w:val="F70F599F"/>
    <w:rsid w:val="F7D441D8"/>
    <w:rsid w:val="F7F7D398"/>
    <w:rsid w:val="F7FF38A6"/>
    <w:rsid w:val="F9DBC8C2"/>
    <w:rsid w:val="F9FB496B"/>
    <w:rsid w:val="FA19FC32"/>
    <w:rsid w:val="FAB2A7FF"/>
    <w:rsid w:val="FAFF2636"/>
    <w:rsid w:val="FB67C009"/>
    <w:rsid w:val="FB6FD769"/>
    <w:rsid w:val="FB772AB3"/>
    <w:rsid w:val="FCB74B48"/>
    <w:rsid w:val="FDE3886B"/>
    <w:rsid w:val="FDFED952"/>
    <w:rsid w:val="FE57D590"/>
    <w:rsid w:val="FEF24E04"/>
    <w:rsid w:val="FEFDE496"/>
    <w:rsid w:val="FEFDE4F8"/>
    <w:rsid w:val="FF3DCBAB"/>
    <w:rsid w:val="FF4B0D67"/>
    <w:rsid w:val="FF4B8EA5"/>
    <w:rsid w:val="FF97CCC5"/>
    <w:rsid w:val="FF9BF307"/>
    <w:rsid w:val="FFBFFA70"/>
    <w:rsid w:val="FFD73114"/>
    <w:rsid w:val="FFDF538A"/>
    <w:rsid w:val="FFEB4BC8"/>
    <w:rsid w:val="FFF6EE0F"/>
    <w:rsid w:val="FFFAFCCB"/>
    <w:rsid w:val="FFFC507C"/>
    <w:rsid w:val="FFFDDCF2"/>
    <w:rsid w:val="FFFF8A76"/>
    <w:rsid w:val="FFFF938A"/>
    <w:rsid w:val="FFFFA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afterLines="0" w:afterAutospacing="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table" w:customStyle="1" w:styleId="4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1474</Words>
  <Characters>1486</Characters>
  <Lines>10</Lines>
  <Paragraphs>3</Paragraphs>
  <TotalTime>24</TotalTime>
  <ScaleCrop>false</ScaleCrop>
  <LinksUpToDate>false</LinksUpToDate>
  <CharactersWithSpaces>1489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2025-02-10T17:43:00Z</dcterms:created>
  <dc:creator>殷 于</dc:creator>
  <cp:lastModifiedBy></cp:lastModifiedBy>
  <dcterms:modified xsi:type="dcterms:W3CDTF">2025-04-25T03:08:23Z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eyJoZGlkIjoiYjYwYmJiZWU1YmJkMGMwNjhjNmFiZDQ3ZDg4MTcwN2MiLCJ1c2VySWQiOiIyNDg0OTIxNjAifQ==</vt:lpwstr>
  </property>
  <property fmtid="{D5CDD505-2E9C-101B-9397-08002B2CF9AE}" pid="4" name="ICV">
    <vt:lpwstr>C6A133EDCB574498858923C6C8DB442D_12</vt:lpwstr>
  </property>
</Properties>
</file>